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792507" w:rsidRDefault="00792507" w:rsidP="00FA028D">
      <w:pPr>
        <w:jc w:val="both"/>
        <w:rPr>
          <w:sz w:val="22"/>
          <w:szCs w:val="22"/>
        </w:rPr>
      </w:pPr>
    </w:p>
    <w:p w:rsidR="00792507" w:rsidRPr="002720A6" w:rsidRDefault="00792507" w:rsidP="00FA028D">
      <w:pPr>
        <w:jc w:val="both"/>
        <w:rPr>
          <w:sz w:val="22"/>
          <w:szCs w:val="22"/>
        </w:rPr>
      </w:pPr>
    </w:p>
    <w:p w:rsidR="008C5F4B" w:rsidRPr="003115BC" w:rsidRDefault="008C5F4B" w:rsidP="003115B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22BF">
        <w:rPr>
          <w:rFonts w:ascii="Times New Roman" w:hAnsi="Times New Roman" w:cs="Times New Roman"/>
          <w:b/>
          <w:sz w:val="22"/>
          <w:szCs w:val="22"/>
        </w:rPr>
        <w:t xml:space="preserve">п. </w:t>
      </w:r>
      <w:r w:rsidR="00610053" w:rsidRPr="00D822BF">
        <w:rPr>
          <w:rFonts w:ascii="Times New Roman" w:hAnsi="Times New Roman" w:cs="Times New Roman"/>
          <w:b/>
          <w:sz w:val="22"/>
          <w:szCs w:val="22"/>
        </w:rPr>
        <w:t>35</w:t>
      </w:r>
      <w:r w:rsidRPr="00D822BF">
        <w:rPr>
          <w:rFonts w:ascii="Times New Roman" w:hAnsi="Times New Roman" w:cs="Times New Roman"/>
          <w:b/>
          <w:sz w:val="22"/>
          <w:szCs w:val="22"/>
        </w:rPr>
        <w:t>.б)</w:t>
      </w:r>
      <w:r w:rsidRPr="0006272B">
        <w:rPr>
          <w:rFonts w:ascii="Times New Roman" w:hAnsi="Times New Roman" w:cs="Times New Roman"/>
          <w:b/>
          <w:sz w:val="22"/>
          <w:szCs w:val="22"/>
        </w:rPr>
        <w:t xml:space="preserve"> информация о выбросах загрязняющих веществ, оказывающих негативное влияние на окружающую среду, и мероприятиях по их сокращению на следующий год</w:t>
      </w:r>
      <w:r w:rsidR="005270AA" w:rsidRPr="0006272B">
        <w:rPr>
          <w:rFonts w:ascii="Times New Roman" w:hAnsi="Times New Roman" w:cs="Times New Roman"/>
          <w:b/>
          <w:sz w:val="22"/>
          <w:szCs w:val="22"/>
        </w:rPr>
        <w:t>.</w:t>
      </w:r>
    </w:p>
    <w:tbl>
      <w:tblPr>
        <w:tblW w:w="1000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2370"/>
        <w:gridCol w:w="1244"/>
        <w:gridCol w:w="1448"/>
        <w:gridCol w:w="2047"/>
        <w:gridCol w:w="1846"/>
      </w:tblGrid>
      <w:tr w:rsidR="008C5F4B" w:rsidRPr="005270AA" w:rsidTr="00B2535D">
        <w:trPr>
          <w:trHeight w:val="20"/>
        </w:trPr>
        <w:tc>
          <w:tcPr>
            <w:tcW w:w="105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37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Экологические показатели</w:t>
            </w:r>
          </w:p>
        </w:tc>
        <w:tc>
          <w:tcPr>
            <w:tcW w:w="124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2D0169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 -</w:t>
            </w:r>
            <w:r w:rsidR="002D0169">
              <w:t xml:space="preserve"> </w:t>
            </w:r>
            <w:r w:rsidR="002D0169" w:rsidRPr="002D0169">
              <w:rPr>
                <w:rFonts w:ascii="Times New Roman" w:hAnsi="Times New Roman" w:cs="Times New Roman"/>
                <w:b/>
                <w:sz w:val="22"/>
                <w:szCs w:val="22"/>
              </w:rPr>
              <w:t>тонны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2D0169">
            <w:pPr>
              <w:pStyle w:val="ConsPlusNormal"/>
              <w:ind w:hanging="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F7532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D016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389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7A3E5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D0169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8C5F4B" w:rsidRPr="005270AA" w:rsidTr="00B2535D">
        <w:trPr>
          <w:trHeight w:val="204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7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4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2D0169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Факт по итогам 20</w:t>
            </w:r>
            <w:r w:rsidR="00F7532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D0169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C57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года</w:t>
            </w:r>
          </w:p>
        </w:tc>
        <w:tc>
          <w:tcPr>
            <w:tcW w:w="204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5F4B" w:rsidRPr="005270AA" w:rsidRDefault="008C5F4B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843" w:type="dxa"/>
          </w:tcPr>
          <w:p w:rsidR="008C5F4B" w:rsidRPr="005270AA" w:rsidRDefault="008C5F4B" w:rsidP="00BF5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b/>
                <w:sz w:val="22"/>
                <w:szCs w:val="22"/>
              </w:rPr>
              <w:t>План/цель</w:t>
            </w:r>
          </w:p>
        </w:tc>
      </w:tr>
      <w:tr w:rsidR="002D0169" w:rsidRPr="005270AA" w:rsidTr="00B2535D">
        <w:trPr>
          <w:trHeight w:val="262"/>
        </w:trPr>
        <w:tc>
          <w:tcPr>
            <w:tcW w:w="10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1</w:t>
            </w: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2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3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4</w:t>
            </w:r>
          </w:p>
        </w:tc>
        <w:tc>
          <w:tcPr>
            <w:tcW w:w="204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5</w:t>
            </w: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left="-811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2D0169">
              <w:rPr>
                <w:rFonts w:ascii="Times New Roman" w:hAnsi="Times New Roman" w:cs="Times New Roman"/>
                <w:sz w:val="22"/>
                <w:szCs w:val="16"/>
              </w:rPr>
              <w:t>6</w:t>
            </w:r>
          </w:p>
        </w:tc>
      </w:tr>
      <w:tr w:rsidR="002D0169" w:rsidRPr="005270AA" w:rsidTr="00B2535D">
        <w:trPr>
          <w:trHeight w:val="277"/>
        </w:trPr>
        <w:tc>
          <w:tcPr>
            <w:tcW w:w="10008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b/>
                <w:sz w:val="24"/>
              </w:rPr>
              <w:t>Кузнецкая ТЭЦ</w:t>
            </w:r>
          </w:p>
        </w:tc>
      </w:tr>
      <w:tr w:rsidR="002D0169" w:rsidRPr="005270AA" w:rsidTr="00B2535D">
        <w:trPr>
          <w:trHeight w:val="878"/>
        </w:trPr>
        <w:tc>
          <w:tcPr>
            <w:tcW w:w="105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Pr="005270AA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70AA">
              <w:rPr>
                <w:rFonts w:ascii="Times New Roman" w:hAnsi="Times New Roman" w:cs="Times New Roman"/>
                <w:sz w:val="22"/>
                <w:szCs w:val="22"/>
              </w:rPr>
              <w:t>Объем выбросов загрязняющих веществ в атмосферу: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693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Default="002D0169" w:rsidP="002D0169">
            <w:pPr>
              <w:pStyle w:val="ConsPlusNormal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оксид азота </w:t>
            </w:r>
          </w:p>
          <w:p w:rsidR="002D0169" w:rsidRPr="001E51A4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B4B50">
              <w:rPr>
                <w:rFonts w:ascii="Times New Roman" w:hAnsi="Times New Roman" w:cs="Times New Roman"/>
                <w:sz w:val="22"/>
                <w:szCs w:val="22"/>
              </w:rPr>
              <w:t>в пересчете на NO₂)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jc w:val="center"/>
              <w:rPr>
                <w:sz w:val="22"/>
                <w:szCs w:val="22"/>
              </w:rPr>
            </w:pPr>
            <w:r w:rsidRPr="002D0169">
              <w:rPr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3 125,166</w:t>
            </w:r>
          </w:p>
        </w:tc>
        <w:tc>
          <w:tcPr>
            <w:tcW w:w="204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0"/>
              </w:rPr>
            </w:pPr>
            <w:r w:rsidRPr="002D0169">
              <w:rPr>
                <w:rFonts w:ascii="Times New Roman" w:eastAsia="Calibri" w:hAnsi="Times New Roman" w:cs="Times New Roman"/>
                <w:sz w:val="22"/>
                <w:szCs w:val="20"/>
              </w:rPr>
              <w:t>Ремонт и техническое обслуживание золоулавливающих и аспирационных установок.</w:t>
            </w:r>
          </w:p>
          <w:p w:rsidR="002D0169" w:rsidRPr="00DB3B8A" w:rsidRDefault="002D0169" w:rsidP="002D0169">
            <w:pPr>
              <w:pStyle w:val="ConsPlusNormal"/>
              <w:widowControl/>
              <w:ind w:left="317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DB3B8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169">
              <w:rPr>
                <w:rFonts w:ascii="Times New Roman" w:hAnsi="Times New Roman" w:cs="Times New Roman"/>
                <w:sz w:val="22"/>
                <w:szCs w:val="20"/>
              </w:rPr>
              <w:t>Обеспечение требований природоохранного законодательства</w:t>
            </w:r>
          </w:p>
        </w:tc>
      </w:tr>
      <w:tr w:rsidR="002D0169" w:rsidRPr="005270AA" w:rsidTr="00B2535D">
        <w:trPr>
          <w:trHeight w:val="447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 диоксид серы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jc w:val="center"/>
              <w:rPr>
                <w:sz w:val="22"/>
                <w:szCs w:val="22"/>
              </w:rPr>
            </w:pPr>
            <w:r w:rsidRPr="002D0169">
              <w:rPr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4 148,623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431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 твердые вещества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jc w:val="center"/>
              <w:rPr>
                <w:sz w:val="22"/>
                <w:szCs w:val="22"/>
              </w:rPr>
            </w:pPr>
            <w:r w:rsidRPr="002D0169">
              <w:rPr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1 220,719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693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 летучие органические вещества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jc w:val="center"/>
              <w:rPr>
                <w:sz w:val="22"/>
                <w:szCs w:val="22"/>
              </w:rPr>
            </w:pPr>
            <w:r w:rsidRPr="002D0169">
              <w:rPr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3,574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447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1.5. оксид углерода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jc w:val="center"/>
              <w:rPr>
                <w:sz w:val="22"/>
                <w:szCs w:val="22"/>
              </w:rPr>
            </w:pPr>
            <w:r w:rsidRPr="002D0169">
              <w:rPr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22,573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955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7A3E5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E5A">
              <w:rPr>
                <w:rFonts w:ascii="Times New Roman" w:hAnsi="Times New Roman" w:cs="Times New Roman"/>
                <w:sz w:val="22"/>
                <w:szCs w:val="22"/>
              </w:rPr>
              <w:t>1.6. углероды (без летучих органических соединений)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169" w:rsidRPr="005270AA" w:rsidTr="00B2535D">
        <w:trPr>
          <w:trHeight w:val="585"/>
        </w:trPr>
        <w:tc>
          <w:tcPr>
            <w:tcW w:w="105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D0169" w:rsidRDefault="002D0169" w:rsidP="002D0169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7A3E5A" w:rsidRDefault="002D0169" w:rsidP="002D016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0"/>
              </w:rPr>
              <w:t>1.7. прочие газообразные и жидкие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hanging="2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sz w:val="22"/>
                <w:szCs w:val="22"/>
              </w:rPr>
              <w:t>0,002</w:t>
            </w:r>
          </w:p>
        </w:tc>
        <w:tc>
          <w:tcPr>
            <w:tcW w:w="204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4D3B3D" w:rsidRDefault="002D0169" w:rsidP="002D016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9A3DC2" w:rsidRDefault="002D0169" w:rsidP="002D016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169" w:rsidRPr="005270AA" w:rsidTr="00B2535D">
        <w:trPr>
          <w:trHeight w:val="277"/>
        </w:trPr>
        <w:tc>
          <w:tcPr>
            <w:tcW w:w="10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5270AA" w:rsidRDefault="002D0169" w:rsidP="002D01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2D0169" w:rsidRDefault="002D0169" w:rsidP="002D0169">
            <w:pPr>
              <w:pStyle w:val="ConsPlusNormal"/>
              <w:ind w:firstLine="0"/>
              <w:jc w:val="right"/>
              <w:rPr>
                <w:rFonts w:ascii="Times New Roman" w:eastAsia="Calibri" w:hAnsi="Times New Roman" w:cs="Times New Roman"/>
                <w:b/>
                <w:sz w:val="22"/>
                <w:szCs w:val="20"/>
                <w:lang w:eastAsia="en-US"/>
              </w:rPr>
            </w:pPr>
            <w:r w:rsidRPr="002D0169">
              <w:rPr>
                <w:rFonts w:ascii="Times New Roman" w:eastAsia="Calibri" w:hAnsi="Times New Roman" w:cs="Times New Roman"/>
                <w:b/>
                <w:sz w:val="22"/>
                <w:szCs w:val="20"/>
                <w:lang w:eastAsia="en-US"/>
              </w:rPr>
              <w:t>Итого:</w:t>
            </w:r>
          </w:p>
        </w:tc>
        <w:tc>
          <w:tcPr>
            <w:tcW w:w="124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910ED4" w:rsidRDefault="002D0169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0ED4">
              <w:rPr>
                <w:rFonts w:ascii="Times New Roman" w:hAnsi="Times New Roman" w:cs="Times New Roman"/>
                <w:b/>
                <w:sz w:val="22"/>
                <w:szCs w:val="22"/>
              </w:rPr>
              <w:t>тонн</w:t>
            </w:r>
          </w:p>
        </w:tc>
        <w:tc>
          <w:tcPr>
            <w:tcW w:w="144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F75328" w:rsidRDefault="002D0169" w:rsidP="002D01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0169">
              <w:rPr>
                <w:rFonts w:ascii="Times New Roman" w:hAnsi="Times New Roman" w:cs="Times New Roman"/>
                <w:b/>
                <w:sz w:val="22"/>
                <w:szCs w:val="22"/>
              </w:rPr>
              <w:t>8 520,657</w:t>
            </w:r>
          </w:p>
        </w:tc>
        <w:tc>
          <w:tcPr>
            <w:tcW w:w="204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4D3B3D" w:rsidRDefault="002D0169" w:rsidP="002D016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169" w:rsidRPr="009A3DC2" w:rsidRDefault="002D0169" w:rsidP="002D016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6FD" w:rsidRPr="005270AA" w:rsidRDefault="004956FD" w:rsidP="008C5F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4956FD" w:rsidRPr="005270AA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842B73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2B73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95033-B5BE-40C0-B14D-ECB5AEA1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1158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2025-05-26T06:37:00Z</dcterms:created>
  <dcterms:modified xsi:type="dcterms:W3CDTF">2025-05-26T06:37:00Z</dcterms:modified>
</cp:coreProperties>
</file>